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Daankwee Consulting</w:t>
      </w:r>
    </w:p>
    <w:p>
      <w:r>
        <w:rPr>
          <w:i/>
          <w:sz w:val="22"/>
        </w:rPr>
        <w:t>Modernization • AI Transformation • Workflow Optimization • Cloud</w:t>
      </w:r>
    </w:p>
    <w:p>
      <w:r>
        <w:rPr>
          <w:b/>
          <w:sz w:val="24"/>
        </w:rPr>
        <w:t>CAPABILITY STATEMENT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184"/>
        <w:gridCol w:w="3600"/>
      </w:tblGrid>
      <w:tr>
        <w:tc>
          <w:tcPr>
            <w:tcW w:type="dxa" w:w="5256"/>
          </w:tcPr>
          <w:p>
            <w:r>
              <w:rPr>
                <w:b/>
                <w:sz w:val="20"/>
              </w:rPr>
              <w:t>OVERVIEW</w:t>
            </w:r>
          </w:p>
          <w:p>
            <w:r>
              <w:rPr>
                <w:sz w:val="20"/>
              </w:rPr>
              <w:t>Daankwee Consulting helps public-sector and regulated organizations modernize legacy systems, reduce operational cost, and improve service delivery using practical cloud engineering and AI-assisted workflow automation. We deliver measurable outcomes fast—without unnecessary complexity.</w:t>
            </w:r>
          </w:p>
          <w:p/>
          <w:p>
            <w:r>
              <w:rPr>
                <w:b/>
                <w:sz w:val="20"/>
              </w:rPr>
              <w:t>CORE COMPETENCIES</w:t>
            </w:r>
          </w:p>
          <w:p>
            <w:r>
              <w:rPr>
                <w:b/>
                <w:sz w:val="20"/>
              </w:rPr>
              <w:t>AI &amp; Automation</w:t>
            </w:r>
          </w:p>
          <w:p>
            <w:pPr>
              <w:pStyle w:val="ListBullet"/>
            </w:pPr>
            <w:r>
              <w:rPr>
                <w:sz w:val="19"/>
              </w:rPr>
              <w:t>AI-assisted workflow analysis and automation planning</w:t>
            </w:r>
          </w:p>
          <w:p>
            <w:pPr>
              <w:pStyle w:val="ListBullet"/>
            </w:pPr>
            <w:r>
              <w:rPr>
                <w:sz w:val="19"/>
              </w:rPr>
              <w:t>Document intelligence: summarization, risk extraction, and compliance support</w:t>
            </w:r>
          </w:p>
          <w:p>
            <w:pPr>
              <w:pStyle w:val="ListBullet"/>
            </w:pPr>
            <w:r>
              <w:rPr>
                <w:sz w:val="19"/>
              </w:rPr>
              <w:t>Modernization readiness scoring and 30/60/90-day roadmaps</w:t>
            </w:r>
          </w:p>
          <w:p>
            <w:pPr>
              <w:pStyle w:val="ListBullet"/>
            </w:pPr>
            <w:r>
              <w:rPr>
                <w:sz w:val="19"/>
              </w:rPr>
              <w:t>Proposal acceleration tools (GovWrite Assist™) and response structuring</w:t>
            </w:r>
          </w:p>
          <w:p>
            <w:r>
              <w:rPr>
                <w:b/>
                <w:sz w:val="20"/>
              </w:rPr>
              <w:t>Cloud &amp; Infrastructure Modernization</w:t>
            </w:r>
          </w:p>
          <w:p>
            <w:pPr>
              <w:pStyle w:val="ListBullet"/>
            </w:pPr>
            <w:r>
              <w:rPr>
                <w:sz w:val="19"/>
              </w:rPr>
              <w:t>Cloud architecture and migration planning (AWS / Azure / GCP)</w:t>
            </w:r>
          </w:p>
          <w:p>
            <w:pPr>
              <w:pStyle w:val="ListBullet"/>
            </w:pPr>
            <w:r>
              <w:rPr>
                <w:sz w:val="19"/>
              </w:rPr>
              <w:t>Legacy application refactoring and platform stabilization</w:t>
            </w:r>
          </w:p>
          <w:p>
            <w:pPr>
              <w:pStyle w:val="ListBullet"/>
            </w:pPr>
            <w:r>
              <w:rPr>
                <w:sz w:val="19"/>
              </w:rPr>
              <w:t>Containerization, CI/CD, and infrastructure-as-code adoption</w:t>
            </w:r>
          </w:p>
          <w:p>
            <w:pPr>
              <w:pStyle w:val="ListBullet"/>
            </w:pPr>
            <w:r>
              <w:rPr>
                <w:sz w:val="19"/>
              </w:rPr>
              <w:t>Performance, reliability, and cost-optimization improvements</w:t>
            </w:r>
          </w:p>
          <w:p>
            <w:r>
              <w:rPr>
                <w:b/>
                <w:sz w:val="20"/>
              </w:rPr>
              <w:t>Public-Sector Systems Improvement</w:t>
            </w:r>
          </w:p>
          <w:p>
            <w:pPr>
              <w:pStyle w:val="ListBullet"/>
            </w:pPr>
            <w:r>
              <w:rPr>
                <w:sz w:val="19"/>
              </w:rPr>
              <w:t>Workflow redesign and operational efficiency initiatives</w:t>
            </w:r>
          </w:p>
          <w:p>
            <w:pPr>
              <w:pStyle w:val="ListBullet"/>
            </w:pPr>
            <w:r>
              <w:rPr>
                <w:sz w:val="19"/>
              </w:rPr>
              <w:t>Digital services implementation and service-delivery modernization</w:t>
            </w:r>
          </w:p>
          <w:p>
            <w:pPr>
              <w:pStyle w:val="ListBullet"/>
            </w:pPr>
            <w:r>
              <w:rPr>
                <w:sz w:val="19"/>
              </w:rPr>
              <w:t>Data governance-friendly automation (auditability and controls)</w:t>
            </w:r>
          </w:p>
          <w:p>
            <w:pPr>
              <w:pStyle w:val="ListBullet"/>
            </w:pPr>
            <w:r>
              <w:rPr>
                <w:sz w:val="19"/>
              </w:rPr>
              <w:t>Staff enablement, change support, and implementation playbooks</w:t>
            </w:r>
          </w:p>
          <w:p>
            <w:r>
              <w:rPr>
                <w:b/>
                <w:sz w:val="20"/>
              </w:rPr>
              <w:t>Data &amp; Integration Engineering</w:t>
            </w:r>
          </w:p>
          <w:p>
            <w:pPr>
              <w:pStyle w:val="ListBullet"/>
            </w:pPr>
            <w:r>
              <w:rPr>
                <w:sz w:val="19"/>
              </w:rPr>
              <w:t>API design and integration across line-of-business systems</w:t>
            </w:r>
          </w:p>
          <w:p>
            <w:pPr>
              <w:pStyle w:val="ListBullet"/>
            </w:pPr>
            <w:r>
              <w:rPr>
                <w:sz w:val="19"/>
              </w:rPr>
              <w:t>Data migration, transformation, and interoperability patterns</w:t>
            </w:r>
          </w:p>
          <w:p>
            <w:pPr>
              <w:pStyle w:val="ListBullet"/>
            </w:pPr>
            <w:r>
              <w:rPr>
                <w:sz w:val="19"/>
              </w:rPr>
              <w:t>Event-driven / batch integrations and monitoring</w:t>
            </w:r>
          </w:p>
          <w:p>
            <w:pPr>
              <w:pStyle w:val="ListBullet"/>
            </w:pPr>
            <w:r>
              <w:rPr>
                <w:sz w:val="19"/>
              </w:rPr>
              <w:t>Security-aware integration design (least-privilege, logging, traceability)</w:t>
            </w:r>
          </w:p>
        </w:tc>
        <w:tc>
          <w:tcPr>
            <w:tcW w:type="dxa" w:w="5256"/>
          </w:tcPr>
          <w:p>
            <w:r>
              <w:rPr>
                <w:b/>
                <w:sz w:val="20"/>
              </w:rPr>
              <w:t>DIFFERENTIATORS</w:t>
            </w:r>
          </w:p>
          <w:p>
            <w:pPr>
              <w:pStyle w:val="ListBullet"/>
            </w:pPr>
            <w:r>
              <w:rPr>
                <w:sz w:val="19"/>
              </w:rPr>
              <w:t>Outcome-driven delivery: clear scope, measurable ROI, and rapid iteration.</w:t>
            </w:r>
          </w:p>
          <w:p>
            <w:pPr>
              <w:pStyle w:val="ListBullet"/>
            </w:pPr>
            <w:r>
              <w:rPr>
                <w:sz w:val="19"/>
              </w:rPr>
              <w:t>Modernization with guardrails: security-aware patterns and audit-friendly workflows.</w:t>
            </w:r>
          </w:p>
          <w:p>
            <w:pPr>
              <w:pStyle w:val="ListBullet"/>
            </w:pPr>
            <w:r>
              <w:rPr>
                <w:sz w:val="19"/>
              </w:rPr>
              <w:t>AI that enhances—not replaces—teams: practical assistive automation.</w:t>
            </w:r>
          </w:p>
          <w:p>
            <w:pPr>
              <w:pStyle w:val="ListBullet"/>
            </w:pPr>
            <w:r>
              <w:rPr>
                <w:sz w:val="19"/>
              </w:rPr>
              <w:t>Reusable accelerators: RapidGov Summary™, GovWrite Assist™, and modernization scoring.</w:t>
            </w:r>
          </w:p>
          <w:p>
            <w:pPr>
              <w:pStyle w:val="ListBullet"/>
            </w:pPr>
            <w:r>
              <w:rPr>
                <w:sz w:val="19"/>
              </w:rPr>
              <w:t>Hands-on senior leadership: strategy + implementation, not slideware.</w:t>
            </w:r>
          </w:p>
          <w:p/>
          <w:p>
            <w:r>
              <w:rPr>
                <w:b/>
                <w:sz w:val="20"/>
              </w:rPr>
              <w:t>NAICS CODES</w:t>
            </w:r>
          </w:p>
          <w:p>
            <w:r>
              <w:rPr>
                <w:sz w:val="19"/>
              </w:rPr>
              <w:t>541611 — Administrative Management &amp; General Management Consulting Services</w:t>
            </w:r>
          </w:p>
          <w:p>
            <w:r>
              <w:rPr>
                <w:sz w:val="19"/>
              </w:rPr>
              <w:t>541330 — Engineering Services</w:t>
            </w:r>
          </w:p>
          <w:p>
            <w:r>
              <w:rPr>
                <w:sz w:val="19"/>
              </w:rPr>
              <w:t>541512 — Computer Systems Design Services</w:t>
            </w:r>
          </w:p>
          <w:p/>
          <w:p>
            <w:r>
              <w:rPr>
                <w:b/>
                <w:sz w:val="20"/>
              </w:rPr>
              <w:t>ENTITY IDENTIFIERS</w:t>
            </w:r>
          </w:p>
          <w:p>
            <w:r>
              <w:rPr>
                <w:sz w:val="19"/>
              </w:rPr>
              <w:t>UEI: PENDING</w:t>
            </w:r>
          </w:p>
          <w:p>
            <w:r>
              <w:rPr>
                <w:sz w:val="19"/>
              </w:rPr>
              <w:t>CAGE: PENDING</w:t>
            </w:r>
          </w:p>
          <w:p/>
          <w:p>
            <w:r>
              <w:rPr>
                <w:b/>
                <w:sz w:val="20"/>
              </w:rPr>
              <w:t>PAST PERFORMANCE (SUMMARY)</w:t>
            </w:r>
          </w:p>
          <w:p>
            <w:pPr>
              <w:pStyle w:val="ListBullet"/>
            </w:pPr>
            <w:r>
              <w:rPr>
                <w:sz w:val="19"/>
              </w:rPr>
              <w:t>State workforce program: modernization planning, automation roadmap, delivery governance.</w:t>
            </w:r>
          </w:p>
          <w:p>
            <w:pPr>
              <w:pStyle w:val="ListBullet"/>
            </w:pPr>
            <w:r>
              <w:rPr>
                <w:sz w:val="19"/>
              </w:rPr>
              <w:t>City government operations: document processing workflow redesign and automation enablement.</w:t>
            </w:r>
          </w:p>
          <w:p>
            <w:pPr>
              <w:pStyle w:val="ListBullet"/>
            </w:pPr>
            <w:r>
              <w:rPr>
                <w:sz w:val="19"/>
              </w:rPr>
              <w:t>Public colleges: modernization program support, cloud migration planning, and platform stabilization.</w:t>
            </w:r>
          </w:p>
          <w:p>
            <w:pPr>
              <w:pStyle w:val="ListBullet"/>
            </w:pPr>
            <w:r>
              <w:rPr>
                <w:sz w:val="19"/>
              </w:rPr>
              <w:t>Public health workflows: intake/process optimization and automation opportunity analysis.</w:t>
            </w:r>
          </w:p>
          <w:p/>
          <w:p>
            <w:r>
              <w:rPr>
                <w:b/>
                <w:sz w:val="20"/>
              </w:rPr>
              <w:t>CONTACT</w:t>
            </w:r>
          </w:p>
          <w:p>
            <w:r>
              <w:rPr>
                <w:sz w:val="19"/>
              </w:rPr>
              <w:t>Primary Contact: Patrick G. Lurlay — Founder &amp; Principal Consultant</w:t>
            </w:r>
          </w:p>
          <w:p>
            <w:r>
              <w:rPr>
                <w:sz w:val="19"/>
              </w:rPr>
              <w:t>Email: info@daankwee.com</w:t>
            </w:r>
          </w:p>
          <w:p>
            <w:r>
              <w:rPr>
                <w:sz w:val="19"/>
              </w:rPr>
              <w:t>Website: daankwee.com</w:t>
            </w:r>
          </w:p>
          <w:p>
            <w:r>
              <w:rPr>
                <w:sz w:val="19"/>
              </w:rPr>
              <w:t>Location: California, USA (remote / on-site by arrangement)</w:t>
            </w:r>
          </w:p>
        </w:tc>
      </w:tr>
    </w:tbl>
    <w:p/>
    <w:p>
      <w:pPr>
        <w:jc w:val="center"/>
      </w:pPr>
      <w:r>
        <w:rPr>
          <w:sz w:val="16"/>
        </w:rPr>
        <w:t>© Daankwee Consulting • Capability Statement (v2)</w:t>
      </w:r>
    </w:p>
    <w:sectPr w:rsidR="00FC693F" w:rsidRPr="0006063C" w:rsidSect="00034616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